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823A" w14:textId="77777777" w:rsidR="00D149BA" w:rsidRPr="00832A3E" w:rsidRDefault="00D149BA" w:rsidP="00D149BA"/>
    <w:p w14:paraId="252BD938" w14:textId="77777777" w:rsidR="00D149BA" w:rsidRPr="00832A3E" w:rsidRDefault="00D149BA" w:rsidP="00D149BA">
      <w:pPr>
        <w:pBdr>
          <w:bottom w:val="single" w:sz="6" w:space="1" w:color="auto"/>
        </w:pBdr>
      </w:pPr>
    </w:p>
    <w:p w14:paraId="1E38ED45" w14:textId="41D75262" w:rsidR="00D149BA" w:rsidRPr="00832A3E" w:rsidRDefault="00122D6D" w:rsidP="00D149BA">
      <w:pPr>
        <w:pStyle w:val="berschrift1"/>
        <w:rPr>
          <w:rFonts w:ascii="Arial" w:hAnsi="Arial"/>
        </w:rPr>
      </w:pPr>
      <w:bookmarkStart w:id="0" w:name="_GoBack"/>
      <w:proofErr w:type="spellStart"/>
      <w:r>
        <w:rPr>
          <w:rFonts w:ascii="Arial" w:hAnsi="Arial"/>
        </w:rPr>
        <w:t>Swissethics</w:t>
      </w:r>
      <w:proofErr w:type="spellEnd"/>
      <w:r w:rsidR="00D149BA" w:rsidRPr="00832A3E">
        <w:rPr>
          <w:rFonts w:ascii="Arial" w:hAnsi="Arial"/>
        </w:rPr>
        <w:t xml:space="preserve"> Guide for the preparation of </w:t>
      </w:r>
      <w:proofErr w:type="spellStart"/>
      <w:r w:rsidR="00D149BA" w:rsidRPr="00832A3E">
        <w:rPr>
          <w:rFonts w:ascii="Arial" w:hAnsi="Arial"/>
        </w:rPr>
        <w:t>biobank</w:t>
      </w:r>
      <w:proofErr w:type="spellEnd"/>
      <w:r w:rsidR="00D149BA" w:rsidRPr="00832A3E">
        <w:rPr>
          <w:rFonts w:ascii="Arial" w:hAnsi="Arial"/>
        </w:rPr>
        <w:t xml:space="preserve"> regulations in connection with research projects involving human beings</w:t>
      </w:r>
      <w:bookmarkEnd w:id="0"/>
    </w:p>
    <w:p w14:paraId="08F34530" w14:textId="77777777" w:rsidR="00D149BA" w:rsidRPr="00832A3E" w:rsidRDefault="00D149BA" w:rsidP="00D149BA">
      <w:pPr>
        <w:pBdr>
          <w:bottom w:val="single" w:sz="6" w:space="1" w:color="auto"/>
        </w:pBdr>
        <w:rPr>
          <w:rFonts w:cs="Arial"/>
        </w:rPr>
      </w:pPr>
      <w:r w:rsidRPr="00832A3E">
        <w:rPr>
          <w:rFonts w:cs="Arial"/>
        </w:rPr>
        <w:t>Valid from 1 January 2014 (entry into force of the Human Research Act and associated Ordinances)</w:t>
      </w:r>
    </w:p>
    <w:p w14:paraId="77B20319" w14:textId="77777777" w:rsidR="00D149BA" w:rsidRPr="00832A3E" w:rsidRDefault="00D149BA" w:rsidP="00D149BA">
      <w:pPr>
        <w:pBdr>
          <w:bottom w:val="single" w:sz="6" w:space="1" w:color="auto"/>
        </w:pBdr>
        <w:rPr>
          <w:rFonts w:cs="Arial"/>
        </w:rPr>
      </w:pPr>
    </w:p>
    <w:p w14:paraId="032DCCEC" w14:textId="77777777" w:rsidR="00D149BA" w:rsidRPr="00832A3E" w:rsidRDefault="00D149BA" w:rsidP="00D149BA">
      <w:pPr>
        <w:rPr>
          <w:rFonts w:cs="Arial"/>
        </w:rPr>
      </w:pPr>
    </w:p>
    <w:p w14:paraId="0F1B305C" w14:textId="77777777" w:rsidR="00D149BA" w:rsidRPr="00832A3E" w:rsidRDefault="00D149BA" w:rsidP="00D149BA"/>
    <w:p w14:paraId="211AFCDD" w14:textId="77777777" w:rsidR="00D149BA" w:rsidRPr="00832A3E" w:rsidRDefault="00D149BA" w:rsidP="00D149BA">
      <w:pPr>
        <w:rPr>
          <w:rFonts w:cs="Arial"/>
          <w:b/>
        </w:rPr>
      </w:pPr>
    </w:p>
    <w:p w14:paraId="236360AF" w14:textId="77777777" w:rsidR="00D149BA" w:rsidRPr="00832A3E" w:rsidRDefault="00D149BA" w:rsidP="00D149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</w:rPr>
      </w:pPr>
      <w:r>
        <w:rPr>
          <w:rFonts w:cs="Arial"/>
          <w:b/>
        </w:rPr>
        <w:t xml:space="preserve">The </w:t>
      </w:r>
      <w:proofErr w:type="spellStart"/>
      <w:r>
        <w:rPr>
          <w:rFonts w:cs="Arial"/>
          <w:b/>
        </w:rPr>
        <w:t>b</w:t>
      </w:r>
      <w:r w:rsidRPr="00832A3E">
        <w:rPr>
          <w:rFonts w:cs="Arial"/>
          <w:b/>
        </w:rPr>
        <w:t>iobank</w:t>
      </w:r>
      <w:proofErr w:type="spellEnd"/>
      <w:r w:rsidRPr="00832A3E">
        <w:rPr>
          <w:rFonts w:cs="Arial"/>
          <w:b/>
        </w:rPr>
        <w:t xml:space="preserve"> regulations are of crucial importance for the scientifically and legally </w:t>
      </w:r>
      <w:r>
        <w:rPr>
          <w:rFonts w:cs="Arial"/>
          <w:b/>
        </w:rPr>
        <w:t>sound</w:t>
      </w:r>
      <w:r w:rsidRPr="00832A3E">
        <w:rPr>
          <w:rFonts w:cs="Arial"/>
          <w:b/>
        </w:rPr>
        <w:t xml:space="preserve"> management of a </w:t>
      </w:r>
      <w:proofErr w:type="spellStart"/>
      <w:r w:rsidRPr="00832A3E">
        <w:rPr>
          <w:rFonts w:cs="Arial"/>
          <w:b/>
        </w:rPr>
        <w:t>biobank</w:t>
      </w:r>
      <w:proofErr w:type="spellEnd"/>
      <w:r w:rsidRPr="00832A3E">
        <w:rPr>
          <w:rFonts w:cs="Arial"/>
          <w:b/>
        </w:rPr>
        <w:t xml:space="preserve">. The regulations are to be written and reviewed by an expert. The template for </w:t>
      </w:r>
      <w:proofErr w:type="spellStart"/>
      <w:r w:rsidRPr="00832A3E">
        <w:rPr>
          <w:rFonts w:cs="Arial"/>
          <w:b/>
        </w:rPr>
        <w:t>biobank</w:t>
      </w:r>
      <w:proofErr w:type="spellEnd"/>
      <w:r w:rsidRPr="00832A3E">
        <w:rPr>
          <w:rFonts w:cs="Arial"/>
          <w:b/>
        </w:rPr>
        <w:t xml:space="preserve"> regulations is designed to ensure compliance with national legislation and promote the harmonisation of </w:t>
      </w:r>
      <w:proofErr w:type="spellStart"/>
      <w:r w:rsidRPr="00832A3E">
        <w:rPr>
          <w:rFonts w:cs="Arial"/>
          <w:b/>
        </w:rPr>
        <w:t>biobanks</w:t>
      </w:r>
      <w:proofErr w:type="spellEnd"/>
      <w:r w:rsidRPr="00832A3E">
        <w:rPr>
          <w:rFonts w:cs="Arial"/>
          <w:b/>
        </w:rPr>
        <w:t xml:space="preserve"> in Switzerland</w:t>
      </w:r>
      <w:r>
        <w:rPr>
          <w:rFonts w:cs="Arial"/>
          <w:b/>
        </w:rPr>
        <w:t>,</w:t>
      </w:r>
      <w:r w:rsidRPr="00832A3E">
        <w:rPr>
          <w:rFonts w:cs="Arial"/>
          <w:b/>
        </w:rPr>
        <w:t xml:space="preserve"> in the interests of standardised sample and data quality.</w:t>
      </w:r>
    </w:p>
    <w:p w14:paraId="3680EE78" w14:textId="77777777" w:rsidR="00D149BA" w:rsidRPr="00832A3E" w:rsidRDefault="00D149BA" w:rsidP="00D149BA">
      <w:pPr>
        <w:pStyle w:val="berschrift2"/>
      </w:pPr>
    </w:p>
    <w:p w14:paraId="0B4943B8" w14:textId="77777777" w:rsidR="00D149BA" w:rsidRPr="00832A3E" w:rsidRDefault="00D149BA" w:rsidP="00D149BA">
      <w:pPr>
        <w:rPr>
          <w:rFonts w:cs="Arial"/>
          <w:b/>
        </w:rPr>
      </w:pPr>
      <w:r w:rsidRPr="00832A3E">
        <w:rPr>
          <w:rFonts w:cs="Arial"/>
          <w:b/>
        </w:rPr>
        <w:t>Introduction</w:t>
      </w:r>
    </w:p>
    <w:p w14:paraId="14B7A052" w14:textId="77777777" w:rsidR="00D149BA" w:rsidRPr="00832A3E" w:rsidRDefault="00D149BA" w:rsidP="00D149BA">
      <w:pPr>
        <w:jc w:val="both"/>
        <w:rPr>
          <w:rFonts w:cs="Arial"/>
        </w:rPr>
      </w:pPr>
      <w:proofErr w:type="gramStart"/>
      <w:r w:rsidRPr="00832A3E">
        <w:rPr>
          <w:rFonts w:cs="Arial"/>
        </w:rPr>
        <w:t xml:space="preserve">The present regulations and </w:t>
      </w:r>
      <w:r>
        <w:rPr>
          <w:rFonts w:cs="Arial"/>
        </w:rPr>
        <w:t>explanatory notes</w:t>
      </w:r>
      <w:r w:rsidRPr="00832A3E">
        <w:rPr>
          <w:rFonts w:cs="Arial"/>
        </w:rPr>
        <w:t xml:space="preserve"> were published by the Swiss Ethics Committees on research involving humans (</w:t>
      </w:r>
      <w:hyperlink r:id="rId8" w:history="1">
        <w:r w:rsidRPr="00832A3E">
          <w:rPr>
            <w:rFonts w:cs="Arial"/>
          </w:rPr>
          <w:t>www.swissethics.ch</w:t>
        </w:r>
      </w:hyperlink>
      <w:r w:rsidRPr="00832A3E">
        <w:rPr>
          <w:rFonts w:cs="Arial"/>
        </w:rPr>
        <w:t>) in 2014</w:t>
      </w:r>
      <w:proofErr w:type="gramEnd"/>
      <w:r w:rsidRPr="00832A3E">
        <w:rPr>
          <w:rFonts w:cs="Arial"/>
        </w:rPr>
        <w:t xml:space="preserve">. The template is based in turn on the documents published in 2009 by the Swiss Academy of Medical Sciences (SAMS) concerning </w:t>
      </w:r>
      <w:proofErr w:type="spellStart"/>
      <w:r w:rsidRPr="00832A3E">
        <w:rPr>
          <w:rFonts w:cs="Arial"/>
        </w:rPr>
        <w:t>biobank</w:t>
      </w:r>
      <w:proofErr w:type="spellEnd"/>
      <w:r w:rsidRPr="00832A3E">
        <w:rPr>
          <w:rFonts w:cs="Arial"/>
        </w:rPr>
        <w:t xml:space="preserve"> regulations (and patient information/consent) suitable for use throughout Switzerland. A working group established by </w:t>
      </w:r>
      <w:proofErr w:type="spellStart"/>
      <w:r w:rsidRPr="00832A3E">
        <w:rPr>
          <w:rFonts w:cs="Arial"/>
        </w:rPr>
        <w:t>swissethics</w:t>
      </w:r>
      <w:proofErr w:type="spellEnd"/>
      <w:r w:rsidRPr="00832A3E">
        <w:rPr>
          <w:rFonts w:cs="Arial"/>
        </w:rPr>
        <w:t xml:space="preserve"> at the end of 2013 integrated the new provisions of the Human Research Act (HRA) into the existing template, to take effect in 2014.</w:t>
      </w:r>
    </w:p>
    <w:p w14:paraId="638E1F49" w14:textId="77777777" w:rsidR="00D149BA" w:rsidRPr="00832A3E" w:rsidRDefault="00D149BA" w:rsidP="00D149BA">
      <w:pPr>
        <w:jc w:val="both"/>
        <w:rPr>
          <w:rFonts w:cs="Arial"/>
        </w:rPr>
      </w:pPr>
      <w:r w:rsidRPr="00832A3E">
        <w:rPr>
          <w:rFonts w:cs="Arial"/>
        </w:rPr>
        <w:t>The working group also revised the templates for patient information/consent for the collection of samples/data (see www.swissethics.ch).</w:t>
      </w:r>
    </w:p>
    <w:p w14:paraId="5E5327E2" w14:textId="77777777" w:rsidR="00D149BA" w:rsidRPr="00832A3E" w:rsidRDefault="00D149BA" w:rsidP="00D149BA">
      <w:pPr>
        <w:jc w:val="both"/>
        <w:rPr>
          <w:rFonts w:cs="Arial"/>
        </w:rPr>
      </w:pPr>
      <w:r w:rsidRPr="00832A3E">
        <w:rPr>
          <w:rFonts w:cs="Arial"/>
        </w:rPr>
        <w:t>The goals pursued by the working group were as follows:</w:t>
      </w:r>
    </w:p>
    <w:p w14:paraId="372DE650" w14:textId="77777777" w:rsidR="00D149BA" w:rsidRPr="00832A3E" w:rsidRDefault="00D149BA" w:rsidP="00D149BA">
      <w:pPr>
        <w:pStyle w:val="Listenabsatz1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gramStart"/>
      <w:r w:rsidRPr="00832A3E">
        <w:rPr>
          <w:rFonts w:ascii="Arial" w:hAnsi="Arial" w:cs="Arial"/>
          <w:lang w:val="en-GB"/>
        </w:rPr>
        <w:t>implementation</w:t>
      </w:r>
      <w:proofErr w:type="gramEnd"/>
      <w:r w:rsidRPr="00832A3E">
        <w:rPr>
          <w:rFonts w:ascii="Arial" w:hAnsi="Arial" w:cs="Arial"/>
          <w:lang w:val="en-GB"/>
        </w:rPr>
        <w:t xml:space="preserve"> of current legal and ethical requirements (in particular, HRA)</w:t>
      </w:r>
    </w:p>
    <w:p w14:paraId="76E96366" w14:textId="77777777" w:rsidR="00D149BA" w:rsidRPr="00832A3E" w:rsidRDefault="00D149BA" w:rsidP="00D149BA">
      <w:pPr>
        <w:pStyle w:val="Listenabsatz1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832A3E">
        <w:rPr>
          <w:rFonts w:ascii="Arial" w:hAnsi="Arial" w:cs="Arial"/>
          <w:lang w:val="en-GB"/>
        </w:rPr>
        <w:t>Swiss-wide harmonisation of regulations, patient information and consent.</w:t>
      </w:r>
    </w:p>
    <w:p w14:paraId="7297462C" w14:textId="77777777" w:rsidR="00D149BA" w:rsidRPr="00832A3E" w:rsidRDefault="00D149BA" w:rsidP="00D149BA">
      <w:pPr>
        <w:jc w:val="both"/>
        <w:rPr>
          <w:rFonts w:cs="Arial"/>
        </w:rPr>
      </w:pPr>
      <w:r w:rsidRPr="00832A3E">
        <w:rPr>
          <w:rFonts w:cs="Arial"/>
        </w:rPr>
        <w:t xml:space="preserve">The </w:t>
      </w:r>
      <w:proofErr w:type="spellStart"/>
      <w:r w:rsidRPr="00832A3E">
        <w:rPr>
          <w:rFonts w:cs="Arial"/>
        </w:rPr>
        <w:t>biobank</w:t>
      </w:r>
      <w:proofErr w:type="spellEnd"/>
      <w:r w:rsidRPr="00832A3E">
        <w:rPr>
          <w:rFonts w:cs="Arial"/>
        </w:rPr>
        <w:t xml:space="preserve"> regulations (hereafter “regulations”) were coordinated with the above-mentioned patient information/consent for the collection of samples/data.</w:t>
      </w:r>
    </w:p>
    <w:p w14:paraId="306C0B6F" w14:textId="77777777" w:rsidR="00D149BA" w:rsidRPr="00832A3E" w:rsidRDefault="00D149BA" w:rsidP="00D149BA">
      <w:pPr>
        <w:pStyle w:val="berschrift2"/>
        <w:rPr>
          <w:rFonts w:eastAsia="Calibri" w:cs="Arial"/>
          <w:b w:val="0"/>
          <w:bCs w:val="0"/>
          <w:sz w:val="22"/>
          <w:szCs w:val="22"/>
        </w:rPr>
      </w:pPr>
      <w:r w:rsidRPr="00832A3E">
        <w:rPr>
          <w:rFonts w:eastAsia="Calibri" w:cs="Arial"/>
          <w:b w:val="0"/>
          <w:bCs w:val="0"/>
          <w:sz w:val="22"/>
          <w:szCs w:val="22"/>
        </w:rPr>
        <w:t>Below, a few general notes are given concerning the preparation of regulations.</w:t>
      </w:r>
    </w:p>
    <w:p w14:paraId="3BFF6822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This Guide is intended merely as an aid to the compilation of regulations and does not form part of the template.</w:t>
      </w:r>
    </w:p>
    <w:p w14:paraId="504AACC7" w14:textId="77777777" w:rsidR="00D149BA" w:rsidRPr="00832A3E" w:rsidRDefault="00D149BA" w:rsidP="00D149BA">
      <w:pPr>
        <w:rPr>
          <w:i/>
          <w:sz w:val="28"/>
          <w:szCs w:val="28"/>
        </w:rPr>
      </w:pPr>
    </w:p>
    <w:p w14:paraId="5BD3329F" w14:textId="77777777" w:rsidR="00D149BA" w:rsidRPr="00832A3E" w:rsidRDefault="00D149BA" w:rsidP="00D149BA">
      <w:pPr>
        <w:pStyle w:val="berschrift1"/>
        <w:spacing w:line="276" w:lineRule="auto"/>
        <w:ind w:left="432" w:hanging="432"/>
      </w:pPr>
      <w:r w:rsidRPr="00832A3E">
        <w:t>Formal aspects:</w:t>
      </w:r>
    </w:p>
    <w:p w14:paraId="5049DFEB" w14:textId="77777777" w:rsidR="00D149BA" w:rsidRPr="00832A3E" w:rsidRDefault="00D149BA" w:rsidP="00D149BA">
      <w:pPr>
        <w:rPr>
          <w:rFonts w:cs="Arial"/>
        </w:rPr>
      </w:pPr>
    </w:p>
    <w:p w14:paraId="3D201243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lastRenderedPageBreak/>
        <w:t xml:space="preserve">Each institution/organisation operating a </w:t>
      </w:r>
      <w:proofErr w:type="spellStart"/>
      <w:r w:rsidRPr="00832A3E">
        <w:rPr>
          <w:rFonts w:cs="Arial"/>
        </w:rPr>
        <w:t>biobank</w:t>
      </w:r>
      <w:proofErr w:type="spellEnd"/>
      <w:r w:rsidRPr="00832A3E">
        <w:rPr>
          <w:rFonts w:cs="Arial"/>
        </w:rPr>
        <w:t xml:space="preserve"> in Switzerland produces locally adapted documents, with a letterhead on the first page.</w:t>
      </w:r>
    </w:p>
    <w:p w14:paraId="126970A8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The entire document is to be paginated (page X of Y), with a revision date (and possibly a version number) included in the footer.</w:t>
      </w:r>
    </w:p>
    <w:p w14:paraId="7213881D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In the template, a box containing additional explanations is included under each heading. These boxes are to be deleted in the regulations.</w:t>
      </w:r>
    </w:p>
    <w:p w14:paraId="7259AB61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Text highlighted in grey is to be localised.</w:t>
      </w:r>
    </w:p>
    <w:p w14:paraId="7510A930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If certain points are covered by other documents or regulations, reference is to be made to these (or links provided). This applies in particular to information that changes on a regular basis – e.g. the names of persons responsible.</w:t>
      </w:r>
    </w:p>
    <w:p w14:paraId="1B378782" w14:textId="77777777" w:rsidR="00D149BA" w:rsidRPr="00832A3E" w:rsidRDefault="00D149BA" w:rsidP="00D149BA">
      <w:pPr>
        <w:pStyle w:val="berschrift1"/>
        <w:spacing w:line="276" w:lineRule="auto"/>
        <w:ind w:left="432" w:hanging="432"/>
      </w:pPr>
      <w:r w:rsidRPr="00832A3E">
        <w:t>Target readership, language and publication:</w:t>
      </w:r>
    </w:p>
    <w:p w14:paraId="3C563D73" w14:textId="77777777" w:rsidR="00D149BA" w:rsidRPr="00832A3E" w:rsidRDefault="00D149BA" w:rsidP="00D149BA"/>
    <w:p w14:paraId="53803998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 xml:space="preserve">The regulations are intended, firstly, to define the appropriate management of a </w:t>
      </w:r>
      <w:proofErr w:type="spellStart"/>
      <w:r w:rsidRPr="00832A3E">
        <w:rPr>
          <w:rFonts w:cs="Arial"/>
        </w:rPr>
        <w:t>biobank</w:t>
      </w:r>
      <w:proofErr w:type="spellEnd"/>
      <w:r w:rsidRPr="00832A3E">
        <w:rPr>
          <w:rFonts w:cs="Arial"/>
        </w:rPr>
        <w:t xml:space="preserve"> for </w:t>
      </w:r>
      <w:proofErr w:type="spellStart"/>
      <w:r w:rsidRPr="00832A3E">
        <w:rPr>
          <w:rFonts w:cs="Arial"/>
        </w:rPr>
        <w:t>biobank</w:t>
      </w:r>
      <w:proofErr w:type="spellEnd"/>
      <w:r w:rsidRPr="00832A3E">
        <w:rPr>
          <w:rFonts w:cs="Arial"/>
        </w:rPr>
        <w:t xml:space="preserve"> operators. Secondly, they should enable researchers to ensure that any samples and data used are of the required quality.</w:t>
      </w:r>
    </w:p>
    <w:p w14:paraId="792E6DBB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In addition, the regulations are designed to inform the general public about how the samples and data collected are used. The regulations should therefore be accessible to the public.</w:t>
      </w:r>
    </w:p>
    <w:p w14:paraId="0534A642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Accordingly, as far as possible, the regulations should be written in such a way that the content is also comprehensible for lay readers, especially the non-technical part.</w:t>
      </w:r>
    </w:p>
    <w:p w14:paraId="4FDAE71A" w14:textId="77777777" w:rsidR="00D149BA" w:rsidRPr="00832A3E" w:rsidRDefault="00D149BA" w:rsidP="00D149BA">
      <w:pPr>
        <w:rPr>
          <w:rFonts w:cs="Arial"/>
        </w:rPr>
      </w:pPr>
      <w:r w:rsidRPr="00832A3E">
        <w:rPr>
          <w:rFonts w:cs="Arial"/>
        </w:rPr>
        <w:t>Technical terms should therefore be avoided, or explained if they are indispensable. Abbreviations and repetition should also be avoided.</w:t>
      </w:r>
    </w:p>
    <w:p w14:paraId="1A153089" w14:textId="2D255157" w:rsidR="00C63B04" w:rsidRPr="00D149BA" w:rsidRDefault="00D149BA" w:rsidP="00C63B04">
      <w:pPr>
        <w:rPr>
          <w:rFonts w:cs="Arial"/>
        </w:rPr>
      </w:pPr>
      <w:r w:rsidRPr="00832A3E">
        <w:rPr>
          <w:rFonts w:cs="Arial"/>
        </w:rPr>
        <w:t>The same terms should be used for the same concepts throughout – synonyms are to be avoided</w:t>
      </w:r>
      <w:r>
        <w:rPr>
          <w:rFonts w:cs="Arial"/>
        </w:rPr>
        <w:t>.</w:t>
      </w:r>
    </w:p>
    <w:sectPr w:rsidR="00C63B04" w:rsidRPr="00D149BA" w:rsidSect="00D05755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DD1E" w14:textId="77777777" w:rsidR="006075E5" w:rsidRDefault="006075E5">
      <w:r>
        <w:separator/>
      </w:r>
    </w:p>
  </w:endnote>
  <w:endnote w:type="continuationSeparator" w:id="0">
    <w:p w14:paraId="66F792D8" w14:textId="77777777" w:rsidR="006075E5" w:rsidRDefault="0060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BF7F" w14:textId="2797E81C" w:rsidR="004F4202" w:rsidRPr="00AA2830" w:rsidRDefault="004F4202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</w:rPr>
    </w:pP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"AGEK_PubDokName"  \* MERGEFORMAT </w:instrText>
    </w:r>
    <w:r w:rsidRPr="00AA2830">
      <w:rPr>
        <w:rFonts w:cs="Arial"/>
        <w:sz w:val="18"/>
        <w:szCs w:val="18"/>
      </w:rPr>
      <w:fldChar w:fldCharType="separate"/>
    </w:r>
    <w:proofErr w:type="spellStart"/>
    <w:proofErr w:type="gramStart"/>
    <w:r w:rsidR="00F11169">
      <w:rPr>
        <w:rFonts w:cs="Arial"/>
        <w:sz w:val="18"/>
        <w:szCs w:val="18"/>
      </w:rPr>
      <w:t>biobanks</w:t>
    </w:r>
    <w:proofErr w:type="spellEnd"/>
    <w:proofErr w:type="gramEnd"/>
    <w:r w:rsidR="00F11169">
      <w:rPr>
        <w:rFonts w:cs="Arial"/>
        <w:sz w:val="18"/>
        <w:szCs w:val="18"/>
      </w:rPr>
      <w:t>, guide</w:t>
    </w:r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ab/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"AGEK_PubVersion"  \* MERGEFORMAT </w:instrText>
    </w:r>
    <w:r w:rsidRPr="00AA2830">
      <w:rPr>
        <w:rFonts w:cs="Arial"/>
        <w:sz w:val="18"/>
        <w:szCs w:val="18"/>
      </w:rPr>
      <w:fldChar w:fldCharType="separate"/>
    </w:r>
    <w:r w:rsidR="00F11169">
      <w:rPr>
        <w:rFonts w:cs="Arial"/>
        <w:sz w:val="18"/>
        <w:szCs w:val="18"/>
      </w:rPr>
      <w:t>V-1.0</w:t>
    </w:r>
    <w:r w:rsidRPr="00AA2830">
      <w:rPr>
        <w:rFonts w:cs="Arial"/>
        <w:sz w:val="18"/>
        <w:szCs w:val="18"/>
      </w:rPr>
      <w:fldChar w:fldCharType="end"/>
    </w:r>
    <w:r w:rsidR="00AA2830">
      <w:rPr>
        <w:rFonts w:cs="Arial"/>
        <w:sz w:val="18"/>
        <w:szCs w:val="18"/>
      </w:rPr>
      <w:tab/>
    </w:r>
    <w:r w:rsidR="00D149BA">
      <w:rPr>
        <w:rFonts w:cs="Arial"/>
        <w:sz w:val="18"/>
        <w:szCs w:val="18"/>
      </w:rPr>
      <w:t>page</w:t>
    </w:r>
    <w:r w:rsidRPr="00AA2830">
      <w:rPr>
        <w:rFonts w:cs="Arial"/>
        <w:sz w:val="18"/>
        <w:szCs w:val="18"/>
      </w:rPr>
      <w:t xml:space="preserve"> 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PAGE  \* MERGEFORMAT </w:instrText>
    </w:r>
    <w:r w:rsidRPr="00AA2830">
      <w:rPr>
        <w:rFonts w:cs="Arial"/>
        <w:sz w:val="18"/>
        <w:szCs w:val="18"/>
      </w:rPr>
      <w:fldChar w:fldCharType="separate"/>
    </w:r>
    <w:r w:rsidR="00F11169">
      <w:rPr>
        <w:rFonts w:cs="Arial"/>
        <w:noProof/>
        <w:sz w:val="18"/>
        <w:szCs w:val="18"/>
      </w:rPr>
      <w:t>1</w:t>
    </w:r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>/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NUMPAGES  \* MERGEFORMAT </w:instrText>
    </w:r>
    <w:r w:rsidRPr="00AA2830">
      <w:rPr>
        <w:rFonts w:cs="Arial"/>
        <w:sz w:val="18"/>
        <w:szCs w:val="18"/>
      </w:rPr>
      <w:fldChar w:fldCharType="separate"/>
    </w:r>
    <w:r w:rsidR="00F11169">
      <w:rPr>
        <w:rFonts w:cs="Arial"/>
        <w:noProof/>
        <w:sz w:val="18"/>
        <w:szCs w:val="18"/>
      </w:rPr>
      <w:t>2</w:t>
    </w:r>
    <w:r w:rsidRPr="00AA2830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F8A14" w14:textId="77777777" w:rsidR="006075E5" w:rsidRDefault="006075E5">
      <w:r>
        <w:separator/>
      </w:r>
    </w:p>
  </w:footnote>
  <w:footnote w:type="continuationSeparator" w:id="0">
    <w:p w14:paraId="36149F9F" w14:textId="77777777" w:rsidR="006075E5" w:rsidRDefault="00607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9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BB7FEE" w:rsidRPr="00AC4BBF" w14:paraId="761E7493" w14:textId="77777777" w:rsidTr="00BB7FEE">
      <w:trPr>
        <w:jc w:val="center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0E227782" w14:textId="77777777" w:rsidR="00BB7FEE" w:rsidRDefault="00BB7FEE" w:rsidP="00FD06EB">
          <w:pPr>
            <w:pStyle w:val="SwissethicsHeaderObenLinks"/>
            <w:widowControl w:val="0"/>
            <w:spacing w:line="360" w:lineRule="exact"/>
            <w:ind w:left="-108"/>
          </w:pPr>
          <w:proofErr w:type="spellStart"/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  <w:proofErr w:type="spellEnd"/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5B4F6DBF" w14:textId="77777777" w:rsidR="00BB7FEE" w:rsidRPr="0037224A" w:rsidRDefault="00BB7FEE" w:rsidP="00FD06EB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11322915" w14:textId="77777777" w:rsidR="00BB7FEE" w:rsidRPr="0037224A" w:rsidRDefault="00BB7FEE" w:rsidP="00FD06EB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4C5EC54C" w14:textId="77777777" w:rsidR="00BB7FEE" w:rsidRPr="0037224A" w:rsidRDefault="00BB7FEE" w:rsidP="00FD06EB">
          <w:pPr>
            <w:pStyle w:val="SwissethicsHeaderObenRechts"/>
            <w:ind w:right="-11"/>
            <w:rPr>
              <w:lang w:val="fr-FR"/>
            </w:rPr>
          </w:pPr>
          <w:proofErr w:type="spellStart"/>
          <w:r w:rsidRPr="0037224A">
            <w:rPr>
              <w:lang w:val="fr-FR"/>
            </w:rPr>
            <w:t>Commissioni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etiche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svizzere</w:t>
          </w:r>
          <w:proofErr w:type="spellEnd"/>
          <w:r w:rsidRPr="0037224A">
            <w:rPr>
              <w:lang w:val="fr-FR"/>
            </w:rPr>
            <w:t xml:space="preserve"> per la </w:t>
          </w:r>
          <w:proofErr w:type="spellStart"/>
          <w:r w:rsidRPr="0037224A">
            <w:rPr>
              <w:lang w:val="fr-FR"/>
            </w:rPr>
            <w:t>ricerca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sull'essere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umano</w:t>
          </w:r>
          <w:proofErr w:type="spellEnd"/>
        </w:p>
        <w:p w14:paraId="6AC3D710" w14:textId="77777777" w:rsidR="00BB7FEE" w:rsidRPr="00AC4BBF" w:rsidRDefault="00BB7FEE" w:rsidP="00FD06EB">
          <w:pPr>
            <w:pStyle w:val="SwissethicsHeaderObenRechts"/>
            <w:ind w:right="-11"/>
            <w:rPr>
              <w:color w:val="858585"/>
            </w:rPr>
          </w:pPr>
          <w:proofErr w:type="spellStart"/>
          <w:r w:rsidRPr="0037224A">
            <w:rPr>
              <w:lang w:val="fr-FR"/>
            </w:rPr>
            <w:t>Swiss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Ethics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Committees</w:t>
          </w:r>
          <w:proofErr w:type="spellEnd"/>
          <w:r w:rsidRPr="0037224A">
            <w:rPr>
              <w:lang w:val="fr-FR"/>
            </w:rPr>
            <w:t xml:space="preserve"> on </w:t>
          </w:r>
          <w:proofErr w:type="spellStart"/>
          <w:r w:rsidRPr="0037224A">
            <w:rPr>
              <w:lang w:val="fr-FR"/>
            </w:rPr>
            <w:t>research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involving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humans</w:t>
          </w:r>
          <w:proofErr w:type="spellEnd"/>
        </w:p>
      </w:tc>
    </w:tr>
    <w:tr w:rsidR="00BB7FEE" w:rsidRPr="00ED55BD" w14:paraId="0B5897B7" w14:textId="77777777" w:rsidTr="00BB7FEE">
      <w:trPr>
        <w:trHeight w:hRule="exact" w:val="85"/>
        <w:jc w:val="center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096B1D99" w14:textId="77777777" w:rsidR="00BB7FEE" w:rsidRPr="00ED55BD" w:rsidRDefault="00BB7FEE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6D5B2329" w14:textId="77777777" w:rsidR="00BB7FEE" w:rsidRPr="00ED55BD" w:rsidRDefault="00BB7FEE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5C60DF05" w14:textId="77777777" w:rsidR="00BB7FEE" w:rsidRPr="00ED55BD" w:rsidRDefault="00BB7FEE" w:rsidP="00FD06EB">
          <w:pPr>
            <w:pStyle w:val="Kopfzeile"/>
            <w:rPr>
              <w:rFonts w:cs="Arial"/>
              <w:sz w:val="16"/>
              <w:szCs w:val="16"/>
            </w:rPr>
          </w:pPr>
        </w:p>
      </w:tc>
    </w:tr>
  </w:tbl>
  <w:p w14:paraId="0CA39EFF" w14:textId="77777777" w:rsidR="00851928" w:rsidRDefault="008519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74426"/>
    <w:multiLevelType w:val="hybridMultilevel"/>
    <w:tmpl w:val="B008B9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8"/>
    <w:rsid w:val="00025F0D"/>
    <w:rsid w:val="0007124E"/>
    <w:rsid w:val="00122D6D"/>
    <w:rsid w:val="001A0F52"/>
    <w:rsid w:val="0026194C"/>
    <w:rsid w:val="002B7FE9"/>
    <w:rsid w:val="002F150A"/>
    <w:rsid w:val="002F7C7F"/>
    <w:rsid w:val="00353284"/>
    <w:rsid w:val="00402DA9"/>
    <w:rsid w:val="00424EB3"/>
    <w:rsid w:val="004B3E88"/>
    <w:rsid w:val="004F4202"/>
    <w:rsid w:val="005023A3"/>
    <w:rsid w:val="005A27B5"/>
    <w:rsid w:val="006075E5"/>
    <w:rsid w:val="0071634D"/>
    <w:rsid w:val="0076075C"/>
    <w:rsid w:val="0082026A"/>
    <w:rsid w:val="00851928"/>
    <w:rsid w:val="008D6E75"/>
    <w:rsid w:val="009C2B0A"/>
    <w:rsid w:val="00AA2830"/>
    <w:rsid w:val="00B35324"/>
    <w:rsid w:val="00BB7FEE"/>
    <w:rsid w:val="00C63B04"/>
    <w:rsid w:val="00C6635C"/>
    <w:rsid w:val="00CA097C"/>
    <w:rsid w:val="00CC4E8E"/>
    <w:rsid w:val="00D05755"/>
    <w:rsid w:val="00D149BA"/>
    <w:rsid w:val="00D35AF6"/>
    <w:rsid w:val="00E857AF"/>
    <w:rsid w:val="00EA0FD6"/>
    <w:rsid w:val="00EB6309"/>
    <w:rsid w:val="00F11169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3E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6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51928"/>
    <w:rPr>
      <w:sz w:val="20"/>
      <w:szCs w:val="20"/>
    </w:rPr>
  </w:style>
  <w:style w:type="character" w:customStyle="1" w:styleId="KommentartextZeichen">
    <w:name w:val="Kommentartext Zeiche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192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63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urText">
    <w:name w:val="Plain Text"/>
    <w:basedOn w:val="Standard"/>
    <w:link w:val="NurTextZeichen"/>
    <w:uiPriority w:val="99"/>
    <w:rsid w:val="00D149BA"/>
    <w:pPr>
      <w:spacing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eichen">
    <w:name w:val="Nur Text Zeichen"/>
    <w:basedOn w:val="Absatzstandardschriftart"/>
    <w:link w:val="NurText"/>
    <w:uiPriority w:val="99"/>
    <w:rsid w:val="00D149BA"/>
    <w:rPr>
      <w:rFonts w:ascii="Courier New" w:eastAsia="Times New Roman" w:hAnsi="Courier New" w:cs="Courier New"/>
    </w:rPr>
  </w:style>
  <w:style w:type="paragraph" w:customStyle="1" w:styleId="Listenabsatz1">
    <w:name w:val="Listenabsatz1"/>
    <w:basedOn w:val="Standard"/>
    <w:uiPriority w:val="34"/>
    <w:qFormat/>
    <w:rsid w:val="00D149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6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51928"/>
    <w:rPr>
      <w:sz w:val="20"/>
      <w:szCs w:val="20"/>
    </w:rPr>
  </w:style>
  <w:style w:type="character" w:customStyle="1" w:styleId="KommentartextZeichen">
    <w:name w:val="Kommentartext Zeiche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192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63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urText">
    <w:name w:val="Plain Text"/>
    <w:basedOn w:val="Standard"/>
    <w:link w:val="NurTextZeichen"/>
    <w:uiPriority w:val="99"/>
    <w:rsid w:val="00D149BA"/>
    <w:pPr>
      <w:spacing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eichen">
    <w:name w:val="Nur Text Zeichen"/>
    <w:basedOn w:val="Absatzstandardschriftart"/>
    <w:link w:val="NurText"/>
    <w:uiPriority w:val="99"/>
    <w:rsid w:val="00D149BA"/>
    <w:rPr>
      <w:rFonts w:ascii="Courier New" w:eastAsia="Times New Roman" w:hAnsi="Courier New" w:cs="Courier New"/>
    </w:rPr>
  </w:style>
  <w:style w:type="paragraph" w:customStyle="1" w:styleId="Listenabsatz1">
    <w:name w:val="Listenabsatz1"/>
    <w:basedOn w:val="Standard"/>
    <w:uiPriority w:val="34"/>
    <w:qFormat/>
    <w:rsid w:val="00D149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issethics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Michael Tueller</cp:lastModifiedBy>
  <cp:revision>7</cp:revision>
  <cp:lastPrinted>2014-10-05T21:36:00Z</cp:lastPrinted>
  <dcterms:created xsi:type="dcterms:W3CDTF">2014-10-05T18:00:00Z</dcterms:created>
  <dcterms:modified xsi:type="dcterms:W3CDTF">2014-10-05T21:38:00Z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05.10.2014</vt:lpwstr>
  </property>
  <property fmtid="{D5CDD505-2E9C-101B-9397-08002B2CF9AE}" pid="4" name="AGEK_PubDokName">
    <vt:lpwstr>biobanks, guide</vt:lpwstr>
  </property>
  <property fmtid="{D5CDD505-2E9C-101B-9397-08002B2CF9AE}" pid="5" name="AGEK_PubVersion">
    <vt:lpwstr>V-1.0</vt:lpwstr>
  </property>
</Properties>
</file>